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CB00E4"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CB00E4" w:rsidRDefault="00C32E53" w:rsidP="007334EA">
          <w:pPr>
            <w:spacing w:after="120"/>
            <w:ind w:left="567" w:firstLine="0"/>
            <w:contextualSpacing/>
            <w:jc w:val="center"/>
            <w:rPr>
              <w:rFonts w:ascii="Verdana" w:hAnsi="Verdana" w:cs="Arial"/>
              <w:sz w:val="20"/>
              <w:szCs w:val="20"/>
            </w:rPr>
          </w:pPr>
        </w:p>
        <w:p w14:paraId="4B92F888" w14:textId="77777777" w:rsidR="00C32E53" w:rsidRPr="00CB00E4" w:rsidRDefault="00C32E53" w:rsidP="007334EA">
          <w:pPr>
            <w:spacing w:after="120"/>
            <w:ind w:left="567" w:firstLine="0"/>
            <w:contextualSpacing/>
            <w:jc w:val="center"/>
            <w:rPr>
              <w:rFonts w:ascii="Verdana" w:hAnsi="Verdana" w:cs="Arial"/>
              <w:sz w:val="20"/>
              <w:szCs w:val="20"/>
            </w:rPr>
          </w:pPr>
        </w:p>
        <w:p w14:paraId="47B8E29B" w14:textId="1ADA2B87" w:rsidR="00D526C8" w:rsidRPr="00CB00E4" w:rsidRDefault="00D526C8" w:rsidP="007334EA">
          <w:pPr>
            <w:spacing w:after="120"/>
            <w:ind w:left="567" w:firstLine="0"/>
            <w:contextualSpacing/>
            <w:jc w:val="center"/>
            <w:rPr>
              <w:rFonts w:ascii="Verdana" w:hAnsi="Verdana" w:cs="Arial"/>
              <w:sz w:val="20"/>
              <w:szCs w:val="20"/>
            </w:rPr>
          </w:pPr>
        </w:p>
        <w:p w14:paraId="47EF0C37" w14:textId="19126F9D" w:rsidR="00D526C8" w:rsidRPr="00CB00E4"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CB00E4" w:rsidRDefault="00D526C8" w:rsidP="007334EA">
          <w:pPr>
            <w:spacing w:after="120"/>
            <w:ind w:left="567" w:firstLine="0"/>
            <w:contextualSpacing/>
            <w:jc w:val="center"/>
            <w:rPr>
              <w:rFonts w:ascii="Verdana" w:hAnsi="Verdana" w:cstheme="minorHAnsi"/>
              <w:sz w:val="20"/>
              <w:szCs w:val="20"/>
            </w:rPr>
          </w:pPr>
        </w:p>
        <w:p w14:paraId="18ACC6AD" w14:textId="20C7EF97" w:rsidR="00062D22" w:rsidRPr="00CB00E4" w:rsidRDefault="00C006CB" w:rsidP="00062D22">
          <w:pPr>
            <w:spacing w:after="120" w:line="240" w:lineRule="auto"/>
            <w:ind w:left="567" w:firstLine="0"/>
            <w:contextualSpacing/>
            <w:jc w:val="center"/>
            <w:rPr>
              <w:rFonts w:ascii="Verdana" w:hAnsi="Verdana" w:cs="Arial"/>
              <w:sz w:val="20"/>
              <w:szCs w:val="20"/>
            </w:rPr>
          </w:pPr>
          <w:r>
            <w:rPr>
              <w:rFonts w:ascii="Verdana" w:hAnsi="Verdana" w:cstheme="minorHAnsi"/>
              <w:b/>
              <w:bCs/>
              <w:sz w:val="20"/>
              <w:szCs w:val="20"/>
              <w:lang w:val="en-GB"/>
            </w:rPr>
            <w:t>SPECIAL TERMS FOR THE SIMPLIFIED CALL FOR TENDERS FOR THE LOW-VALUE PUBLIC CONTRACT ON CLOUD-BASED TV PROGRAMME PLAY-OUT SERVICES</w:t>
          </w:r>
          <w:r w:rsidR="008F223F">
            <w:rPr>
              <w:rFonts w:ascii="Verdana" w:hAnsi="Verdana" w:cstheme="minorHAnsi"/>
              <w:b/>
              <w:bCs/>
              <w:sz w:val="20"/>
              <w:szCs w:val="20"/>
              <w:lang w:val="en-GB"/>
            </w:rPr>
            <w:t xml:space="preserve"> </w:t>
          </w:r>
        </w:p>
        <w:p w14:paraId="09087AF0" w14:textId="099B9E25" w:rsidR="00CB00E4" w:rsidRPr="00E8559B" w:rsidRDefault="005F13F0" w:rsidP="00E8559B">
          <w:pPr>
            <w:spacing w:after="120" w:line="240" w:lineRule="auto"/>
            <w:ind w:left="567" w:firstLine="0"/>
            <w:contextualSpacing/>
            <w:jc w:val="center"/>
            <w:rPr>
              <w:rFonts w:ascii="Verdana" w:hAnsi="Verdana" w:cs="Arial"/>
              <w:sz w:val="20"/>
              <w:szCs w:val="20"/>
            </w:rPr>
          </w:pPr>
          <w:r>
            <w:rPr>
              <w:rFonts w:ascii="Verdana" w:hAnsi="Verdana" w:cs="Arial"/>
              <w:sz w:val="20"/>
              <w:szCs w:val="20"/>
              <w:lang w:val="en-GB"/>
            </w:rPr>
            <w:br w:type="page"/>
          </w:r>
        </w:p>
      </w:sdtContent>
    </w:sdt>
    <w:bookmarkStart w:id="0" w:name="part_472a163f4f844a9297cdf9e29b7fb942" w:displacedByCustomXml="prev"/>
    <w:bookmarkEnd w:id="0" w:displacedByCustomXml="prev"/>
    <w:bookmarkStart w:id="1" w:name="part_da460e3efffa45688cb920cd281c7959" w:displacedByCustomXml="prev"/>
    <w:bookmarkEnd w:id="1" w:displacedByCustomXml="prev"/>
    <w:bookmarkStart w:id="2" w:name="part_c8889be5d523482e81bb176e6fe56cd2" w:displacedByCustomXml="prev"/>
    <w:bookmarkEnd w:id="2" w:displacedByCustomXml="prev"/>
    <w:bookmarkStart w:id="3" w:name="part_2d694ec0bf4747a2ace8bc3a118ff44f" w:displacedByCustomXml="prev"/>
    <w:bookmarkEnd w:id="3" w:displacedByCustomXml="prev"/>
    <w:bookmarkStart w:id="4" w:name="_Toc147739116" w:displacedByCustomXml="prev"/>
    <w:p w14:paraId="12085CDF" w14:textId="16073931" w:rsidR="00746BAF" w:rsidRPr="00CB00E4" w:rsidRDefault="00C31EC9">
      <w:pPr>
        <w:pStyle w:val="Heading1"/>
        <w:numPr>
          <w:ilvl w:val="0"/>
          <w:numId w:val="5"/>
        </w:numPr>
        <w:spacing w:before="720" w:after="0" w:line="300" w:lineRule="auto"/>
        <w:ind w:left="357" w:hanging="357"/>
        <w:rPr>
          <w:rFonts w:ascii="Verdana" w:hAnsi="Verdana" w:cstheme="minorHAnsi"/>
          <w:b/>
          <w:bCs/>
          <w:color w:val="auto"/>
          <w:sz w:val="20"/>
          <w:szCs w:val="20"/>
        </w:rPr>
      </w:pPr>
      <w:bookmarkStart w:id="5" w:name="_Toc137194947"/>
      <w:bookmarkStart w:id="6" w:name="_Ref39666794"/>
      <w:bookmarkStart w:id="7" w:name="_Ref39666796"/>
      <w:bookmarkStart w:id="8" w:name="_Toc48053171"/>
      <w:r>
        <w:rPr>
          <w:rFonts w:ascii="Verdana" w:hAnsi="Verdana" w:cstheme="minorHAnsi"/>
          <w:b/>
          <w:bCs/>
          <w:color w:val="auto"/>
          <w:sz w:val="20"/>
          <w:szCs w:val="20"/>
          <w:lang w:val="en-GB"/>
        </w:rPr>
        <w:lastRenderedPageBreak/>
        <w:t>General information</w:t>
      </w:r>
      <w:bookmarkEnd w:id="5"/>
      <w:r>
        <w:rPr>
          <w:rFonts w:ascii="Verdana" w:hAnsi="Verdana" w:cstheme="minorHAnsi"/>
          <w:b/>
          <w:bCs/>
          <w:color w:val="auto"/>
          <w:sz w:val="20"/>
          <w:szCs w:val="20"/>
          <w:lang w:val="en-GB"/>
        </w:rPr>
        <w:t xml:space="preserve"> </w:t>
      </w:r>
    </w:p>
    <w:p w14:paraId="718CA890" w14:textId="492F9B89" w:rsidR="00FB3C75" w:rsidRPr="00CB00E4" w:rsidRDefault="00FB3C75" w:rsidP="00F77A5D">
      <w:pPr>
        <w:spacing w:line="240" w:lineRule="auto"/>
        <w:ind w:firstLine="0"/>
        <w:rPr>
          <w:rFonts w:ascii="Verdana" w:hAnsi="Verdana" w:cstheme="minorHAnsi"/>
          <w:i/>
          <w:iCs/>
          <w:sz w:val="20"/>
          <w:szCs w:val="20"/>
        </w:rPr>
      </w:pPr>
    </w:p>
    <w:p w14:paraId="3C2B83DD" w14:textId="5B362F1C" w:rsidR="00FB3C75" w:rsidRPr="00CB00E4" w:rsidRDefault="002902C1" w:rsidP="00F77A5D">
      <w:pPr>
        <w:spacing w:line="240" w:lineRule="auto"/>
        <w:rPr>
          <w:rFonts w:ascii="Verdana" w:hAnsi="Verdana" w:cstheme="minorHAnsi"/>
          <w:sz w:val="20"/>
          <w:szCs w:val="20"/>
        </w:rPr>
      </w:pPr>
      <w:r>
        <w:rPr>
          <w:rFonts w:ascii="Verdana" w:hAnsi="Verdana" w:cstheme="minorHAnsi"/>
          <w:sz w:val="20"/>
          <w:szCs w:val="20"/>
          <w:lang w:val="en-GB"/>
        </w:rPr>
        <w:t>1.1. Contracting Authority – Public enterprise LIETUVOS NACIONALINIS RADIJAS IR TELEVIZIJA, legal entity code 124241078, address S. Konarskio g. 49, LT-03123, Vilnius, administration working hours: I-IV: 8:00 – 12:00, 12:45 – 17:00; V: 8:00 – 12:00, 12:45 – 15:45. The Contracting Authority is a VAT payer.</w:t>
      </w:r>
    </w:p>
    <w:p w14:paraId="6669709E" w14:textId="2A5DC3AA" w:rsidR="00316D64" w:rsidRPr="00CB00E4" w:rsidRDefault="00CA0CC5">
      <w:pPr>
        <w:pStyle w:val="ListParagraph"/>
        <w:numPr>
          <w:ilvl w:val="1"/>
          <w:numId w:val="8"/>
        </w:numPr>
        <w:spacing w:line="240" w:lineRule="auto"/>
        <w:ind w:left="0" w:firstLine="710"/>
        <w:rPr>
          <w:rFonts w:ascii="Verdana" w:hAnsi="Verdana" w:cstheme="minorHAnsi"/>
          <w:sz w:val="20"/>
          <w:szCs w:val="20"/>
        </w:rPr>
      </w:pPr>
      <w:r>
        <w:rPr>
          <w:rFonts w:ascii="Verdana" w:hAnsi="Verdana" w:cstheme="minorHAnsi"/>
          <w:sz w:val="20"/>
          <w:szCs w:val="20"/>
          <w:lang w:val="en-GB"/>
        </w:rPr>
        <w:t xml:space="preserve">The procurement shall not be carried out using the centralised procurement catalogue, as the object of the procurement is not available in the CPO catalogue. </w:t>
      </w:r>
    </w:p>
    <w:p w14:paraId="73DD58D0" w14:textId="7C8F7FEA" w:rsidR="00343407" w:rsidRPr="00CB00E4" w:rsidRDefault="00503A5B" w:rsidP="00062D22">
      <w:pPr>
        <w:spacing w:line="240" w:lineRule="auto"/>
        <w:ind w:left="697" w:firstLine="0"/>
        <w:rPr>
          <w:rFonts w:ascii="Verdana" w:hAnsi="Verdana" w:cstheme="minorHAnsi"/>
          <w:sz w:val="20"/>
          <w:szCs w:val="20"/>
        </w:rPr>
      </w:pPr>
      <w:r>
        <w:rPr>
          <w:rFonts w:ascii="Verdana" w:hAnsi="Verdana" w:cs="Arial"/>
          <w:sz w:val="20"/>
          <w:szCs w:val="20"/>
          <w:lang w:val="en-GB"/>
        </w:rPr>
        <w:t xml:space="preserve">1.3. No Procurement Commission shall be established. </w:t>
      </w:r>
    </w:p>
    <w:p w14:paraId="24CC148C" w14:textId="76E2D673" w:rsidR="00DE0B49" w:rsidRPr="00CB00E4" w:rsidRDefault="004F6423" w:rsidP="00062D22">
      <w:pPr>
        <w:pStyle w:val="ListParagraph"/>
        <w:spacing w:line="240" w:lineRule="auto"/>
        <w:ind w:left="0" w:firstLine="709"/>
        <w:rPr>
          <w:rFonts w:ascii="Verdana" w:hAnsi="Verdana"/>
          <w:i/>
          <w:iCs/>
          <w:sz w:val="20"/>
          <w:szCs w:val="20"/>
        </w:rPr>
      </w:pPr>
      <w:r>
        <w:rPr>
          <w:rFonts w:ascii="Verdana" w:hAnsi="Verdana"/>
          <w:sz w:val="20"/>
          <w:szCs w:val="20"/>
          <w:lang w:val="en-GB"/>
        </w:rPr>
        <w:t>1.4.</w:t>
      </w:r>
      <w:r>
        <w:rPr>
          <w:rFonts w:ascii="Verdana" w:hAnsi="Verdana"/>
          <w:i/>
          <w:iCs/>
          <w:sz w:val="20"/>
          <w:szCs w:val="20"/>
          <w:lang w:val="en-GB"/>
        </w:rPr>
        <w:t xml:space="preserve"> </w:t>
      </w:r>
      <w:r>
        <w:rPr>
          <w:rFonts w:ascii="Verdana" w:hAnsi="Verdana"/>
          <w:sz w:val="20"/>
          <w:szCs w:val="20"/>
          <w:lang w:val="en-GB"/>
        </w:rPr>
        <w:t xml:space="preserve">Green procurement is carried out. The procurement is carried out in accordance with paragraph 4.4.3 of Order No. D1-508 of the Minister of Environment of the Republic of Lithuania of 28 June 2011 </w:t>
      </w:r>
      <w:hyperlink r:id="rId11" w:history="1">
        <w:r>
          <w:rPr>
            <w:rStyle w:val="Hyperlink"/>
            <w:rFonts w:ascii="Verdana" w:hAnsi="Verdana" w:cstheme="minorHAnsi"/>
            <w:sz w:val="20"/>
            <w:szCs w:val="20"/>
            <w:lang w:val="en-GB"/>
          </w:rPr>
          <w:t>“On the Approval of the Procedure for the Application of Environmental Protection Criteria in Green Procurement”</w:t>
        </w:r>
      </w:hyperlink>
      <w:r>
        <w:rPr>
          <w:rFonts w:ascii="Verdana" w:hAnsi="Verdana"/>
          <w:sz w:val="20"/>
          <w:szCs w:val="20"/>
          <w:lang w:val="en-GB"/>
        </w:rPr>
        <w:t>. Environmental protection criteria are established in the requirements of the technical specification.</w:t>
      </w:r>
    </w:p>
    <w:p w14:paraId="15179C0E" w14:textId="5F30B569" w:rsidR="00257685" w:rsidRPr="00CB00E4" w:rsidRDefault="008F223F" w:rsidP="007A6EAB">
      <w:pPr>
        <w:spacing w:line="240" w:lineRule="auto"/>
        <w:ind w:firstLine="567"/>
        <w:rPr>
          <w:rFonts w:ascii="Verdana" w:hAnsi="Verdana" w:cstheme="minorHAnsi"/>
          <w:sz w:val="20"/>
          <w:szCs w:val="20"/>
        </w:rPr>
      </w:pPr>
      <w:r>
        <w:rPr>
          <w:rFonts w:ascii="Verdana" w:eastAsia="Arial" w:hAnsi="Verdana" w:cstheme="minorHAnsi"/>
          <w:sz w:val="20"/>
          <w:szCs w:val="20"/>
          <w:lang w:val="en-GB"/>
        </w:rPr>
        <w:t xml:space="preserve"> </w:t>
      </w:r>
      <w:r w:rsidR="00FB0748">
        <w:rPr>
          <w:rFonts w:ascii="Verdana" w:eastAsia="Arial" w:hAnsi="Verdana" w:cstheme="minorHAnsi"/>
          <w:sz w:val="20"/>
          <w:szCs w:val="20"/>
          <w:lang w:val="en-GB"/>
        </w:rPr>
        <w:t>1.5. The General Terms of procurement constitute an integral part of these Terms of procurement.</w:t>
      </w:r>
    </w:p>
    <w:p w14:paraId="4ED932F3" w14:textId="4D4FEA09" w:rsidR="00FB3C75" w:rsidRPr="00CB00E4" w:rsidRDefault="00244994">
      <w:pPr>
        <w:pStyle w:val="Heading1"/>
        <w:numPr>
          <w:ilvl w:val="0"/>
          <w:numId w:val="7"/>
        </w:numPr>
        <w:spacing w:before="720" w:after="0" w:line="300" w:lineRule="auto"/>
        <w:rPr>
          <w:rFonts w:ascii="Verdana" w:hAnsi="Verdana" w:cstheme="minorHAnsi"/>
          <w:b/>
          <w:bCs/>
          <w:color w:val="auto"/>
          <w:sz w:val="20"/>
          <w:szCs w:val="20"/>
        </w:rPr>
      </w:pPr>
      <w:bookmarkStart w:id="9" w:name="_Toc137194948"/>
      <w:r>
        <w:rPr>
          <w:rFonts w:ascii="Verdana" w:hAnsi="Verdana" w:cstheme="minorHAnsi"/>
          <w:b/>
          <w:bCs/>
          <w:color w:val="auto"/>
          <w:sz w:val="20"/>
          <w:szCs w:val="20"/>
          <w:lang w:val="en-GB"/>
        </w:rPr>
        <w:t xml:space="preserve">Object of procurement </w:t>
      </w:r>
      <w:bookmarkEnd w:id="9"/>
    </w:p>
    <w:p w14:paraId="7D847502" w14:textId="77777777" w:rsidR="00FB3C75" w:rsidRPr="00CB00E4" w:rsidRDefault="00FB3C75" w:rsidP="00E62E95">
      <w:pPr>
        <w:spacing w:line="240" w:lineRule="auto"/>
        <w:ind w:firstLine="0"/>
        <w:rPr>
          <w:rFonts w:ascii="Verdana" w:hAnsi="Verdana"/>
          <w:sz w:val="20"/>
          <w:szCs w:val="20"/>
        </w:rPr>
      </w:pPr>
    </w:p>
    <w:p w14:paraId="0AEFEE07" w14:textId="3C3379D8" w:rsidR="00FB3C75" w:rsidRPr="00CB00E4" w:rsidRDefault="4A330118">
      <w:pPr>
        <w:pStyle w:val="NoSpacing"/>
        <w:numPr>
          <w:ilvl w:val="1"/>
          <w:numId w:val="7"/>
        </w:numPr>
        <w:tabs>
          <w:tab w:val="left" w:pos="1134"/>
        </w:tabs>
        <w:spacing w:after="120"/>
        <w:ind w:left="0" w:firstLine="709"/>
        <w:contextualSpacing/>
        <w:rPr>
          <w:rFonts w:ascii="Verdana" w:hAnsi="Verdana" w:cstheme="minorHAnsi"/>
          <w:sz w:val="20"/>
          <w:szCs w:val="20"/>
        </w:rPr>
      </w:pPr>
      <w:r>
        <w:rPr>
          <w:rFonts w:ascii="Verdana" w:hAnsi="Verdana" w:cstheme="minorHAnsi"/>
          <w:sz w:val="20"/>
          <w:szCs w:val="20"/>
          <w:lang w:val="en-GB"/>
        </w:rPr>
        <w:t xml:space="preserve"> The Contracting Authority intends to procure the cloud-based TV programme play-out services. Requirements for the object of procurement are set out in Annex 1 to the Special Terms of Procurement.</w:t>
      </w:r>
    </w:p>
    <w:p w14:paraId="49117D58" w14:textId="57940A4B" w:rsidR="005D280D" w:rsidRPr="00CB00E4" w:rsidRDefault="002C41AA" w:rsidP="00F77A5D">
      <w:pPr>
        <w:pStyle w:val="NoSpacing"/>
        <w:contextualSpacing/>
        <w:rPr>
          <w:rFonts w:ascii="Verdana" w:hAnsi="Verdana" w:cstheme="minorHAnsi"/>
          <w:sz w:val="20"/>
          <w:szCs w:val="20"/>
        </w:rPr>
      </w:pPr>
      <w:r>
        <w:rPr>
          <w:rFonts w:ascii="Verdana" w:hAnsi="Verdana" w:cstheme="minorHAnsi"/>
          <w:sz w:val="20"/>
          <w:szCs w:val="20"/>
          <w:lang w:val="en-GB"/>
        </w:rPr>
        <w:t>2.2. This procurement is not divided into lots. The scope of procurement, requirements and technical specification are defined in Annex 1 to the Special Terms of Procurement.</w:t>
      </w:r>
    </w:p>
    <w:p w14:paraId="2B9FCCA2" w14:textId="34073C68" w:rsidR="003943EC" w:rsidRPr="00CB00E4" w:rsidRDefault="003943EC" w:rsidP="00F77A5D">
      <w:pPr>
        <w:pStyle w:val="ListParagraph"/>
        <w:spacing w:line="240" w:lineRule="auto"/>
        <w:ind w:left="0" w:firstLine="709"/>
        <w:rPr>
          <w:rFonts w:ascii="Verdana" w:hAnsi="Verdana" w:cstheme="minorHAnsi"/>
          <w:sz w:val="20"/>
          <w:szCs w:val="20"/>
        </w:rPr>
      </w:pPr>
      <w:r>
        <w:rPr>
          <w:rFonts w:ascii="Verdana" w:hAnsi="Verdana" w:cstheme="minorHAnsi"/>
          <w:sz w:val="20"/>
          <w:szCs w:val="20"/>
          <w:lang w:val="en-GB"/>
        </w:rPr>
        <w:t xml:space="preserve">2.3. Where, in describing the object of procurement, the technical specification refers to a particular model or source of supply, to a particular process special to the goods or services supplied by a particular supplier, or to a trademark, patent, types, special origin or manufacture, each such reference shall be deemed to be accompanied by the words "or equivalent". </w:t>
      </w:r>
    </w:p>
    <w:p w14:paraId="2D421658" w14:textId="14A54092" w:rsidR="00255C04" w:rsidRPr="00CB00E4" w:rsidRDefault="003943EC" w:rsidP="00F77A5D">
      <w:pPr>
        <w:pStyle w:val="ListParagraph"/>
        <w:spacing w:line="240" w:lineRule="auto"/>
        <w:ind w:left="0" w:firstLine="709"/>
        <w:rPr>
          <w:rFonts w:ascii="Verdana" w:hAnsi="Verdana" w:cstheme="minorHAnsi"/>
          <w:sz w:val="20"/>
          <w:szCs w:val="20"/>
        </w:rPr>
      </w:pPr>
      <w:r>
        <w:rPr>
          <w:rFonts w:ascii="Verdana" w:hAnsi="Verdana"/>
          <w:sz w:val="20"/>
          <w:szCs w:val="20"/>
          <w:lang w:val="en-GB"/>
        </w:rPr>
        <w:t xml:space="preserve">2.4. Where, in describing the object of procurement,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0CEA2D40" w14:textId="7FD38B57" w:rsidR="00FB3C75" w:rsidRPr="00CB00E4" w:rsidRDefault="00BF3638">
      <w:pPr>
        <w:pStyle w:val="Heading1"/>
        <w:numPr>
          <w:ilvl w:val="0"/>
          <w:numId w:val="7"/>
        </w:numPr>
        <w:spacing w:before="720" w:after="0"/>
        <w:ind w:left="357" w:hanging="357"/>
        <w:rPr>
          <w:rFonts w:ascii="Verdana" w:hAnsi="Verdana" w:cstheme="minorHAnsi"/>
          <w:b/>
          <w:bCs/>
          <w:color w:val="auto"/>
          <w:sz w:val="20"/>
          <w:szCs w:val="20"/>
        </w:rPr>
      </w:pPr>
      <w:bookmarkStart w:id="10" w:name="_Toc137194949"/>
      <w:r>
        <w:rPr>
          <w:rFonts w:ascii="Verdana" w:hAnsi="Verdana" w:cstheme="minorHAnsi"/>
          <w:b/>
          <w:bCs/>
          <w:color w:val="auto"/>
          <w:sz w:val="20"/>
          <w:szCs w:val="20"/>
          <w:lang w:val="en-GB"/>
        </w:rPr>
        <w:t>Grounds for exclusion of suppliers, qualification requirements and quality management system and/or environmental management system standards.</w:t>
      </w:r>
      <w:bookmarkEnd w:id="10"/>
      <w:r>
        <w:rPr>
          <w:rFonts w:ascii="Verdana" w:hAnsi="Verdana" w:cstheme="minorHAnsi"/>
          <w:b/>
          <w:bCs/>
          <w:color w:val="auto"/>
          <w:sz w:val="20"/>
          <w:szCs w:val="20"/>
          <w:lang w:val="en-GB"/>
        </w:rPr>
        <w:t xml:space="preserve"> </w:t>
      </w:r>
    </w:p>
    <w:p w14:paraId="0ED6AD78" w14:textId="723DA34A" w:rsidR="00FB3C75" w:rsidRPr="00CB00E4" w:rsidRDefault="00FB3C75" w:rsidP="00E62E95">
      <w:pPr>
        <w:spacing w:line="240" w:lineRule="auto"/>
        <w:ind w:firstLine="0"/>
        <w:rPr>
          <w:rFonts w:ascii="Verdana" w:hAnsi="Verdana"/>
          <w:sz w:val="20"/>
          <w:szCs w:val="20"/>
        </w:rPr>
      </w:pPr>
    </w:p>
    <w:p w14:paraId="3C118EA3" w14:textId="331D4C02" w:rsidR="00062D22" w:rsidRPr="00B86FDE" w:rsidRDefault="00062D22" w:rsidP="00B86FDE">
      <w:pPr>
        <w:pStyle w:val="ListParagraph"/>
        <w:numPr>
          <w:ilvl w:val="1"/>
          <w:numId w:val="7"/>
        </w:numPr>
        <w:spacing w:line="240" w:lineRule="auto"/>
        <w:ind w:left="0" w:firstLine="709"/>
        <w:rPr>
          <w:rFonts w:ascii="Verdana" w:eastAsia="Times New Roman" w:hAnsi="Verdana" w:cs="Times New Roman"/>
          <w:sz w:val="20"/>
          <w:szCs w:val="20"/>
        </w:rPr>
      </w:pPr>
      <w:r>
        <w:rPr>
          <w:rFonts w:ascii="Verdana" w:hAnsi="Verdana"/>
          <w:sz w:val="20"/>
          <w:szCs w:val="20"/>
          <w:lang w:val="en-GB"/>
        </w:rPr>
        <w:t>The Contracting Authority shall determine the grounds for the exclusion of a supplier: The supplier shall be subject to the grounds for exclusion referred to in Article 46(21) of the LPP:</w:t>
      </w:r>
      <w:r>
        <w:rPr>
          <w:rFonts w:ascii="Verdana" w:hAnsi="Verdana"/>
          <w:b/>
          <w:bCs/>
          <w:sz w:val="20"/>
          <w:szCs w:val="20"/>
          <w:lang w:val="en-GB"/>
        </w:rPr>
        <w:t xml:space="preserve"> the supplier has not served the criminal measure imposed on him – a ban on participation in public procurement by a legal person.</w:t>
      </w:r>
    </w:p>
    <w:p w14:paraId="317A11F7" w14:textId="3FE0697F" w:rsidR="00464D07" w:rsidRPr="00CB00E4" w:rsidRDefault="00464D07">
      <w:pPr>
        <w:pStyle w:val="ListParagraph"/>
        <w:numPr>
          <w:ilvl w:val="1"/>
          <w:numId w:val="7"/>
        </w:numPr>
        <w:spacing w:line="240" w:lineRule="auto"/>
        <w:ind w:left="0" w:firstLine="709"/>
        <w:rPr>
          <w:rFonts w:ascii="Verdana" w:hAnsi="Verdana" w:cstheme="minorHAnsi"/>
          <w:sz w:val="20"/>
          <w:szCs w:val="20"/>
        </w:rPr>
      </w:pPr>
      <w:r>
        <w:rPr>
          <w:rFonts w:ascii="Verdana" w:hAnsi="Verdana" w:cstheme="minorHAnsi"/>
          <w:sz w:val="20"/>
          <w:szCs w:val="20"/>
          <w:lang w:val="en-GB"/>
        </w:rPr>
        <w:t>No qualification requirements are set for suppliers.</w:t>
      </w:r>
    </w:p>
    <w:p w14:paraId="52D80500" w14:textId="426252E5" w:rsidR="00894FEF" w:rsidRPr="00CB00E4" w:rsidRDefault="0008617B" w:rsidP="00F77A5D">
      <w:pPr>
        <w:spacing w:line="240" w:lineRule="auto"/>
        <w:ind w:firstLine="709"/>
        <w:rPr>
          <w:rFonts w:ascii="Verdana" w:eastAsia="Arial" w:hAnsi="Verdana" w:cs="Arial"/>
          <w:sz w:val="20"/>
          <w:szCs w:val="20"/>
        </w:rPr>
      </w:pPr>
      <w:r>
        <w:rPr>
          <w:rFonts w:ascii="Verdana" w:hAnsi="Verdana" w:cstheme="minorHAnsi"/>
          <w:sz w:val="20"/>
          <w:szCs w:val="20"/>
          <w:lang w:val="en-GB"/>
        </w:rPr>
        <w:t xml:space="preserve">3.3. The supplier, when submitting a tender, is not required to submit either the ESPD or a free-form declaration concerning compliance with requirements. </w:t>
      </w:r>
    </w:p>
    <w:p w14:paraId="69360CD7" w14:textId="6915587E" w:rsidR="00894FEF" w:rsidRPr="00CB00E4" w:rsidRDefault="00817AB9">
      <w:pPr>
        <w:pStyle w:val="Heading1"/>
        <w:numPr>
          <w:ilvl w:val="0"/>
          <w:numId w:val="7"/>
        </w:numPr>
        <w:spacing w:before="720" w:after="0" w:line="300" w:lineRule="auto"/>
        <w:ind w:left="357" w:hanging="357"/>
        <w:rPr>
          <w:rFonts w:ascii="Verdana" w:hAnsi="Verdana" w:cstheme="minorHAnsi"/>
          <w:b/>
          <w:bCs/>
          <w:color w:val="auto"/>
          <w:sz w:val="20"/>
          <w:szCs w:val="20"/>
        </w:rPr>
      </w:pPr>
      <w:bookmarkStart w:id="11" w:name="_Toc137194950"/>
      <w:r>
        <w:rPr>
          <w:rFonts w:ascii="Verdana" w:hAnsi="Verdana" w:cstheme="minorHAnsi"/>
          <w:b/>
          <w:bCs/>
          <w:color w:val="auto"/>
          <w:sz w:val="20"/>
          <w:szCs w:val="20"/>
          <w:lang w:val="en-GB"/>
        </w:rPr>
        <w:lastRenderedPageBreak/>
        <w:t>Requirements related to national security</w:t>
      </w:r>
      <w:bookmarkEnd w:id="11"/>
      <w:r>
        <w:rPr>
          <w:rFonts w:ascii="Verdana" w:hAnsi="Verdana" w:cstheme="minorHAnsi"/>
          <w:b/>
          <w:bCs/>
          <w:color w:val="auto"/>
          <w:sz w:val="20"/>
          <w:szCs w:val="20"/>
          <w:lang w:val="en-GB"/>
        </w:rPr>
        <w:t xml:space="preserve"> </w:t>
      </w:r>
    </w:p>
    <w:p w14:paraId="0A3E7F23" w14:textId="2800E67D" w:rsidR="00894FEF" w:rsidRPr="00CB00E4" w:rsidRDefault="00894FEF" w:rsidP="009F7690">
      <w:pPr>
        <w:pStyle w:val="ListParagraph"/>
        <w:spacing w:line="20" w:lineRule="atLeast"/>
        <w:ind w:left="697" w:firstLine="0"/>
        <w:rPr>
          <w:rFonts w:ascii="Verdana" w:hAnsi="Verdana"/>
          <w:sz w:val="20"/>
          <w:szCs w:val="20"/>
        </w:rPr>
      </w:pPr>
    </w:p>
    <w:p w14:paraId="6FDE0814" w14:textId="77777777" w:rsidR="00795A9F" w:rsidRDefault="00795A9F" w:rsidP="00795A9F">
      <w:pPr>
        <w:pStyle w:val="Heading1"/>
        <w:numPr>
          <w:ilvl w:val="1"/>
          <w:numId w:val="7"/>
        </w:numPr>
        <w:spacing w:before="0" w:after="0"/>
        <w:ind w:left="0" w:firstLine="709"/>
        <w:rPr>
          <w:rFonts w:ascii="Verdana" w:eastAsiaTheme="minorEastAsia" w:hAnsi="Verdana" w:cstheme="minorHAnsi"/>
          <w:iCs/>
          <w:color w:val="auto"/>
          <w:sz w:val="20"/>
          <w:szCs w:val="20"/>
        </w:rPr>
      </w:pPr>
      <w:bookmarkStart w:id="12" w:name="_Toc137194951"/>
      <w:r>
        <w:rPr>
          <w:rFonts w:ascii="Verdana" w:eastAsiaTheme="minorEastAsia" w:hAnsi="Verdana" w:cstheme="minorHAnsi"/>
          <w:color w:val="auto"/>
          <w:sz w:val="20"/>
          <w:szCs w:val="20"/>
          <w:lang w:val="en-GB"/>
        </w:rPr>
        <w:t xml:space="preserve">The </w:t>
      </w:r>
      <w:r w:rsidRPr="001507A5">
        <w:rPr>
          <w:rFonts w:ascii="Verdana" w:eastAsiaTheme="minorEastAsia" w:hAnsi="Verdana" w:cstheme="minorHAnsi"/>
          <w:color w:val="auto"/>
          <w:sz w:val="20"/>
          <w:szCs w:val="20"/>
          <w:lang w:val="en-GB"/>
        </w:rPr>
        <w:t>Contracting Authorit</w:t>
      </w:r>
      <w:r>
        <w:rPr>
          <w:rFonts w:ascii="Verdana" w:eastAsiaTheme="minorEastAsia" w:hAnsi="Verdana" w:cstheme="minorHAnsi"/>
          <w:color w:val="auto"/>
          <w:sz w:val="20"/>
          <w:szCs w:val="20"/>
          <w:lang w:val="en-GB"/>
        </w:rPr>
        <w:t>y considers that the object of procurement poses a threat to national security if it meets the conditions specified in points Article 37(9)(1) and/or (2) of the LPP. Suppliers must submit, together with the tender, a declaration of compliance in the form approved by the Public Procurement Office. The Contracting Authority shall require the supplier who submitted the most economically advantageous tender to provide one (or several, if needed) of the documents provided for in Article 39(3) of the LPP. The Contracting Authority shall have the right at any stage of the procurement procedure to require the participants to submit all or part of the documents referred to in Article 39(3) of the LPP.</w:t>
      </w:r>
    </w:p>
    <w:p w14:paraId="668D98CA" w14:textId="77777777" w:rsidR="00795A9F" w:rsidRDefault="00795A9F" w:rsidP="00B86FDE">
      <w:pPr>
        <w:pStyle w:val="Heading1"/>
        <w:spacing w:before="0" w:after="0"/>
        <w:ind w:firstLine="567"/>
        <w:rPr>
          <w:rFonts w:ascii="Verdana" w:eastAsiaTheme="minorEastAsia" w:hAnsi="Verdana" w:cstheme="minorHAnsi"/>
          <w:iCs/>
          <w:color w:val="auto"/>
          <w:sz w:val="20"/>
          <w:szCs w:val="20"/>
        </w:rPr>
      </w:pPr>
      <w:r>
        <w:rPr>
          <w:rFonts w:ascii="Verdana" w:eastAsiaTheme="minorEastAsia" w:hAnsi="Verdana" w:cstheme="minorHAnsi"/>
          <w:color w:val="auto"/>
          <w:sz w:val="20"/>
          <w:szCs w:val="20"/>
          <w:lang w:val="en-GB"/>
        </w:rPr>
        <w:t>Note. If the manufacturer of the goods or the service provider or the person controlling them is an enterprise important for ensuring national security, a state enterprise, a municipal enterprise, or a state-controlled company and its subsidiaries listed in the Law on the Protection of Objects Important for National Security, the specified requirement shall not apply to these entities.</w:t>
      </w:r>
    </w:p>
    <w:p w14:paraId="5C31835F" w14:textId="7825B5E8" w:rsidR="00795A9F" w:rsidRPr="00795A9F" w:rsidRDefault="00795A9F" w:rsidP="00B86FDE">
      <w:pPr>
        <w:pStyle w:val="Heading1"/>
        <w:spacing w:before="0" w:after="0"/>
        <w:ind w:firstLine="709"/>
        <w:rPr>
          <w:rFonts w:ascii="Verdana" w:eastAsiaTheme="minorEastAsia" w:hAnsi="Verdana" w:cstheme="minorHAnsi"/>
          <w:iCs/>
          <w:color w:val="auto"/>
          <w:sz w:val="20"/>
          <w:szCs w:val="20"/>
        </w:rPr>
      </w:pPr>
      <w:r>
        <w:rPr>
          <w:rFonts w:ascii="Verdana" w:eastAsiaTheme="minorEastAsia" w:hAnsi="Verdana" w:cstheme="minorHAnsi"/>
          <w:color w:val="auto"/>
          <w:sz w:val="20"/>
          <w:szCs w:val="20"/>
          <w:lang w:val="en-GB"/>
        </w:rPr>
        <w:t xml:space="preserve">4.2. The Contracting Authority considers that the supplier has interests which may pose a threat to national security if the supplier, its subcontractor(s), or the economic operator(s) whose capacities are relied upon, or the persons controlling them, meet the conditions laid down in Article 47(9) of the LPP. The supplier must submit, together with the tender, a declaration of compliance in the form approved by the Public Procurement Office. The Contracting Authority shall require the supplier who submitted the most economically advantageous tender to provide one (or several, if needed) of the documents provided for in Article 51(12) of the LPP. </w:t>
      </w:r>
    </w:p>
    <w:p w14:paraId="490591E3" w14:textId="51041C70" w:rsidR="006D3202" w:rsidRDefault="00795A9F" w:rsidP="00795A9F">
      <w:pPr>
        <w:pStyle w:val="Heading1"/>
        <w:spacing w:before="0" w:after="0"/>
        <w:rPr>
          <w:rFonts w:ascii="Verdana" w:eastAsiaTheme="minorEastAsia" w:hAnsi="Verdana" w:cstheme="minorHAnsi"/>
          <w:iCs/>
          <w:color w:val="auto"/>
          <w:sz w:val="20"/>
          <w:szCs w:val="20"/>
        </w:rPr>
      </w:pPr>
      <w:r>
        <w:rPr>
          <w:rFonts w:ascii="Verdana" w:eastAsiaTheme="minorEastAsia" w:hAnsi="Verdana" w:cstheme="minorHAnsi"/>
          <w:color w:val="auto"/>
          <w:sz w:val="20"/>
          <w:szCs w:val="20"/>
          <w:lang w:val="en-GB"/>
        </w:rPr>
        <w:t>Note. If the supplier, its subcontractor, the economic operators whose capacities are relied upon, or the persons controlling them, are an enterprise important for ensuring national security, a state enterprise, a municipal enterprise, a state-controlled company or their subsidiaries listed in the Law on the Protection of Objects Important for National Security, the specified requirement shall not apply to such entities.</w:t>
      </w:r>
      <w:bookmarkEnd w:id="6"/>
      <w:bookmarkEnd w:id="7"/>
      <w:bookmarkEnd w:id="8"/>
      <w:bookmarkEnd w:id="12"/>
    </w:p>
    <w:p w14:paraId="37E32B37" w14:textId="77777777" w:rsidR="00E8559B" w:rsidRDefault="00E8559B" w:rsidP="00E8559B">
      <w:pPr>
        <w:pStyle w:val="Heading1"/>
        <w:spacing w:before="0" w:after="0"/>
        <w:rPr>
          <w:rFonts w:ascii="Verdana" w:hAnsi="Verdana" w:cstheme="minorHAnsi"/>
          <w:b/>
          <w:bCs/>
          <w:color w:val="000000" w:themeColor="text1"/>
          <w:sz w:val="20"/>
          <w:szCs w:val="20"/>
        </w:rPr>
      </w:pPr>
    </w:p>
    <w:p w14:paraId="0EC206A0" w14:textId="725EBF70" w:rsidR="00E8559B" w:rsidRPr="00676B98" w:rsidRDefault="00E8559B" w:rsidP="00E8559B">
      <w:pPr>
        <w:pStyle w:val="Heading1"/>
        <w:numPr>
          <w:ilvl w:val="0"/>
          <w:numId w:val="7"/>
        </w:numPr>
        <w:spacing w:before="0" w:after="0"/>
        <w:rPr>
          <w:rFonts w:ascii="Verdana" w:hAnsi="Verdana" w:cstheme="minorHAnsi"/>
          <w:b/>
          <w:bCs/>
          <w:color w:val="000000" w:themeColor="text1"/>
          <w:sz w:val="20"/>
          <w:szCs w:val="20"/>
        </w:rPr>
      </w:pPr>
      <w:r>
        <w:rPr>
          <w:rFonts w:ascii="Verdana" w:hAnsi="Verdana" w:cstheme="minorHAnsi"/>
          <w:b/>
          <w:bCs/>
          <w:color w:val="000000" w:themeColor="text1"/>
          <w:sz w:val="20"/>
          <w:szCs w:val="20"/>
          <w:lang w:val="en-GB"/>
        </w:rPr>
        <w:t>Special requirements for the preparation and submission of tenders</w:t>
      </w:r>
    </w:p>
    <w:p w14:paraId="5971D0C7" w14:textId="77777777" w:rsidR="00E861F5" w:rsidRPr="00CB00E4" w:rsidRDefault="00E861F5" w:rsidP="00257685">
      <w:pPr>
        <w:ind w:firstLine="0"/>
        <w:rPr>
          <w:rFonts w:ascii="Verdana" w:hAnsi="Verdana" w:cs="Arial"/>
          <w:b/>
          <w:bCs/>
          <w:sz w:val="20"/>
          <w:szCs w:val="20"/>
        </w:rPr>
      </w:pPr>
    </w:p>
    <w:p w14:paraId="42752441" w14:textId="5BC5D5FB" w:rsidR="008B12C0" w:rsidRPr="00CB00E4" w:rsidRDefault="000010DA" w:rsidP="009B4FB1">
      <w:pPr>
        <w:pStyle w:val="ListParagraph"/>
        <w:spacing w:line="240" w:lineRule="auto"/>
        <w:ind w:left="0" w:firstLine="709"/>
        <w:rPr>
          <w:rFonts w:ascii="Verdana" w:hAnsi="Verdana" w:cstheme="minorHAnsi"/>
          <w:sz w:val="20"/>
          <w:szCs w:val="20"/>
        </w:rPr>
      </w:pPr>
      <w:r>
        <w:rPr>
          <w:rFonts w:ascii="Verdana" w:hAnsi="Verdana" w:cstheme="minorHAnsi"/>
          <w:sz w:val="20"/>
          <w:szCs w:val="20"/>
          <w:lang w:val="en-GB"/>
        </w:rPr>
        <w:t xml:space="preserve">5.1. </w:t>
      </w:r>
      <w:r>
        <w:rPr>
          <w:rFonts w:ascii="Verdana" w:hAnsi="Verdana" w:cstheme="minorHAnsi"/>
          <w:b/>
          <w:bCs/>
          <w:sz w:val="20"/>
          <w:szCs w:val="20"/>
          <w:lang w:val="en-GB"/>
        </w:rPr>
        <w:t>In the “Attach documents” line of the CVP IS tender window</w:t>
      </w:r>
      <w:r>
        <w:rPr>
          <w:rFonts w:ascii="Verdana" w:hAnsi="Verdana" w:cstheme="minorHAnsi"/>
          <w:sz w:val="20"/>
          <w:szCs w:val="20"/>
          <w:lang w:val="en-GB"/>
        </w:rPr>
        <w:t>, the supplier shall upload a signed tender prepared in accordance with the tender form provided in Annex 2 to the Special Terms, as well as other documents (copies thereof) which, in the supplier’s opinion, are necessary as indicated in the tender form.</w:t>
      </w:r>
    </w:p>
    <w:p w14:paraId="0A3C79F0" w14:textId="43D572A2" w:rsidR="001C1D32" w:rsidRPr="00CB00E4" w:rsidRDefault="005A52E6" w:rsidP="009B4FB1">
      <w:pPr>
        <w:pStyle w:val="ListParagraph"/>
        <w:spacing w:line="240" w:lineRule="auto"/>
        <w:ind w:left="0"/>
        <w:rPr>
          <w:rFonts w:ascii="Verdana" w:hAnsi="Verdana" w:cstheme="minorHAnsi"/>
          <w:sz w:val="20"/>
          <w:szCs w:val="20"/>
          <w:u w:val="single"/>
        </w:rPr>
      </w:pPr>
      <w:r>
        <w:rPr>
          <w:rFonts w:ascii="Verdana" w:hAnsi="Verdana" w:cstheme="minorHAnsi"/>
          <w:sz w:val="20"/>
          <w:szCs w:val="20"/>
          <w:lang w:val="en-GB"/>
        </w:rPr>
        <w:t>5.2. The tender may be signed with a physical or qualified electronic signature. If the Supplier certifies documents using an electronic signature rather than a physical signature, the electronic signature must comply with the requirements set out in Article 22(11)(2) and (3) of the LPP. In case of doubt as to the authenticity of the documents, the Contracting Authority shall have the right to require the submission of the original documents. May include:</w:t>
      </w:r>
    </w:p>
    <w:p w14:paraId="2EE860FF" w14:textId="0B983AE4" w:rsidR="001C1D32" w:rsidRPr="00CB00E4" w:rsidRDefault="005A52E6" w:rsidP="009B4FB1">
      <w:pPr>
        <w:spacing w:line="240" w:lineRule="auto"/>
        <w:ind w:firstLine="709"/>
        <w:rPr>
          <w:rFonts w:ascii="Verdana" w:hAnsi="Verdana" w:cstheme="minorHAnsi"/>
          <w:sz w:val="20"/>
          <w:szCs w:val="20"/>
        </w:rPr>
      </w:pPr>
      <w:r>
        <w:rPr>
          <w:rFonts w:ascii="Verdana" w:eastAsia="Calibri" w:hAnsi="Verdana" w:cstheme="minorHAnsi"/>
          <w:sz w:val="20"/>
          <w:szCs w:val="20"/>
          <w:lang w:val="en-GB"/>
        </w:rPr>
        <w:t>5.2.1. documents signed by a qualified electronic signature and formed by electronic means shall be submitted;</w:t>
      </w:r>
    </w:p>
    <w:p w14:paraId="5207D451" w14:textId="35836754" w:rsidR="00AD4F1A" w:rsidRPr="00CB00E4" w:rsidRDefault="00C60621" w:rsidP="009B4FB1">
      <w:pPr>
        <w:pStyle w:val="ListParagraph"/>
        <w:spacing w:line="240" w:lineRule="auto"/>
        <w:ind w:left="0"/>
        <w:rPr>
          <w:rFonts w:ascii="Verdana" w:hAnsi="Verdana" w:cstheme="minorHAnsi"/>
          <w:sz w:val="20"/>
          <w:szCs w:val="20"/>
        </w:rPr>
      </w:pPr>
      <w:r>
        <w:rPr>
          <w:rFonts w:ascii="Verdana" w:eastAsia="Calibri" w:hAnsi="Verdana" w:cstheme="minorHAnsi"/>
          <w:sz w:val="20"/>
          <w:szCs w:val="20"/>
          <w:lang w:val="en-GB"/>
        </w:rPr>
        <w:t>5.2.2. digital copies of documents (physically signed documents must be signed and scanned, and submitted).</w:t>
      </w:r>
    </w:p>
    <w:p w14:paraId="25741C16" w14:textId="242E3675" w:rsidR="00EB0E73" w:rsidRPr="00CB00E4" w:rsidRDefault="00392458" w:rsidP="00F77A5D">
      <w:pPr>
        <w:pStyle w:val="ListParagraph"/>
        <w:spacing w:line="240" w:lineRule="auto"/>
        <w:ind w:left="0"/>
        <w:rPr>
          <w:rFonts w:ascii="Verdana" w:hAnsi="Verdana" w:cstheme="minorHAnsi"/>
          <w:sz w:val="20"/>
          <w:szCs w:val="20"/>
        </w:rPr>
      </w:pPr>
      <w:r>
        <w:rPr>
          <w:rFonts w:ascii="Verdana" w:eastAsia="Arial" w:hAnsi="Verdana"/>
          <w:sz w:val="20"/>
          <w:szCs w:val="20"/>
          <w:lang w:val="en-GB"/>
        </w:rPr>
        <w:t xml:space="preserve">5.3. The tender must be prepared in Lithuanian or English. If any of the documents submitted with the tender are not in the required language, an exact translation into the required language must be provided. </w:t>
      </w:r>
    </w:p>
    <w:p w14:paraId="5669A55B" w14:textId="3F5ECCE2" w:rsidR="0032046A" w:rsidRPr="00CB00E4" w:rsidRDefault="00AB0036" w:rsidP="00F77A5D">
      <w:pPr>
        <w:pStyle w:val="ListParagraph"/>
        <w:spacing w:line="240" w:lineRule="auto"/>
        <w:ind w:left="0"/>
        <w:rPr>
          <w:rFonts w:ascii="Verdana" w:hAnsi="Verdana" w:cstheme="minorHAnsi"/>
          <w:sz w:val="20"/>
          <w:szCs w:val="20"/>
        </w:rPr>
      </w:pPr>
      <w:r>
        <w:rPr>
          <w:rFonts w:ascii="Verdana" w:hAnsi="Verdana" w:cstheme="minorHAnsi"/>
          <w:sz w:val="20"/>
          <w:szCs w:val="20"/>
          <w:lang w:val="en-GB"/>
        </w:rPr>
        <w:t>5.4. Prices in the tenders shall be evaluated in euro. If the tender prices are quoted in foreign currency, they will be converted into euro acc. to the reference exchange rate of the euro and foreign currencies announced by the European Central Bank, and in cases where the European Central Bank does not announce the reference exchange rate of the euro and foreign currencies – acc. to the reference exchange rate of the euro and foreign currencies set by the Bank of Lithuania on the due date of the submission of tenders.</w:t>
      </w:r>
    </w:p>
    <w:p w14:paraId="4CC36FFA" w14:textId="4EEA10A3" w:rsidR="006A6A5B" w:rsidRPr="00CB00E4" w:rsidRDefault="00AB0036" w:rsidP="00F77A5D">
      <w:pPr>
        <w:pStyle w:val="ListParagraph"/>
        <w:spacing w:after="160" w:line="240" w:lineRule="auto"/>
        <w:ind w:left="0" w:firstLine="710"/>
        <w:rPr>
          <w:rFonts w:ascii="Verdana" w:eastAsia="Arial" w:hAnsi="Verdana"/>
          <w:sz w:val="20"/>
          <w:szCs w:val="20"/>
        </w:rPr>
      </w:pPr>
      <w:r>
        <w:rPr>
          <w:rFonts w:ascii="Verdana" w:eastAsia="Arial" w:hAnsi="Verdana"/>
          <w:sz w:val="20"/>
          <w:szCs w:val="20"/>
          <w:lang w:val="en-GB"/>
        </w:rPr>
        <w:t xml:space="preserve">5.5. The total price (cost) of the tender, including VAT, must be expressed to two decimal places. </w:t>
      </w:r>
    </w:p>
    <w:p w14:paraId="76771895" w14:textId="5AFEF289" w:rsidR="00F527B1" w:rsidRPr="00E8559B" w:rsidRDefault="009C66EF" w:rsidP="00E8559B">
      <w:pPr>
        <w:pStyle w:val="ListParagraph"/>
        <w:spacing w:after="160" w:line="240" w:lineRule="auto"/>
        <w:ind w:left="0" w:firstLine="709"/>
        <w:rPr>
          <w:rFonts w:ascii="Verdana" w:hAnsi="Verdana" w:cstheme="minorHAnsi"/>
          <w:sz w:val="20"/>
          <w:szCs w:val="20"/>
        </w:rPr>
      </w:pPr>
      <w:r>
        <w:rPr>
          <w:rFonts w:ascii="Verdana" w:hAnsi="Verdana"/>
          <w:sz w:val="20"/>
          <w:szCs w:val="20"/>
          <w:lang w:val="en-GB"/>
        </w:rPr>
        <w:t>5.6. The prices quoted in the suppliers' tenders will be evaluated and compared with all taxes, including VAT.</w:t>
      </w:r>
    </w:p>
    <w:p w14:paraId="3946E33E" w14:textId="65B6C219" w:rsidR="00F527B1" w:rsidRPr="00CB00E4" w:rsidRDefault="00E85882" w:rsidP="003F5D40">
      <w:pPr>
        <w:pStyle w:val="Heading1"/>
        <w:spacing w:before="0" w:after="0" w:line="300" w:lineRule="auto"/>
        <w:ind w:left="357" w:firstLine="0"/>
        <w:rPr>
          <w:rFonts w:ascii="Verdana" w:hAnsi="Verdana" w:cstheme="minorHAnsi"/>
          <w:b/>
          <w:bCs/>
          <w:color w:val="auto"/>
          <w:sz w:val="20"/>
          <w:szCs w:val="20"/>
        </w:rPr>
      </w:pPr>
      <w:bookmarkStart w:id="13" w:name="_Toc137194952"/>
      <w:r>
        <w:rPr>
          <w:rFonts w:ascii="Verdana" w:hAnsi="Verdana" w:cstheme="minorHAnsi"/>
          <w:b/>
          <w:bCs/>
          <w:color w:val="auto"/>
          <w:sz w:val="20"/>
          <w:szCs w:val="20"/>
          <w:lang w:val="en-GB"/>
        </w:rPr>
        <w:lastRenderedPageBreak/>
        <w:t>6. Tender validity guarantee</w:t>
      </w:r>
      <w:bookmarkEnd w:id="13"/>
    </w:p>
    <w:p w14:paraId="7A210472" w14:textId="77777777" w:rsidR="003D73C2" w:rsidRPr="00CB00E4" w:rsidRDefault="003D73C2" w:rsidP="00C17335">
      <w:pPr>
        <w:ind w:firstLine="0"/>
        <w:rPr>
          <w:rFonts w:ascii="Verdana" w:hAnsi="Verdana" w:cs="Arial"/>
          <w:i/>
          <w:iCs/>
          <w:sz w:val="20"/>
          <w:szCs w:val="20"/>
        </w:rPr>
      </w:pPr>
    </w:p>
    <w:p w14:paraId="7203423F" w14:textId="34A8DB06" w:rsidR="00F527B1" w:rsidRPr="00CB00E4" w:rsidRDefault="007F65C2" w:rsidP="00F77A5D">
      <w:pPr>
        <w:pStyle w:val="ListParagraph"/>
        <w:spacing w:line="240" w:lineRule="auto"/>
        <w:ind w:left="0" w:firstLine="567"/>
        <w:rPr>
          <w:rFonts w:ascii="Verdana" w:hAnsi="Verdana"/>
          <w:sz w:val="20"/>
          <w:szCs w:val="20"/>
        </w:rPr>
      </w:pPr>
      <w:r>
        <w:rPr>
          <w:rFonts w:ascii="Verdana" w:hAnsi="Verdana"/>
          <w:sz w:val="20"/>
          <w:szCs w:val="20"/>
          <w:lang w:val="en-GB"/>
        </w:rPr>
        <w:t>6.1. The Contracting Authority shall not require the validity of the tender to be documented, but reserves the right to seek redress from the courts for damages caused by the Supplier's modification or cancellation of its tender during the validity of the tender, or by the successful tenderer's refusal to conclude the contract during the period of validity of the tender.</w:t>
      </w:r>
    </w:p>
    <w:p w14:paraId="6B9596C1" w14:textId="77777777" w:rsidR="00F527B1" w:rsidRPr="00CB00E4"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CB00E4" w:rsidRDefault="00B52705">
      <w:pPr>
        <w:pStyle w:val="Heading1"/>
        <w:numPr>
          <w:ilvl w:val="0"/>
          <w:numId w:val="6"/>
        </w:numPr>
        <w:spacing w:before="0" w:after="0" w:line="300" w:lineRule="auto"/>
        <w:ind w:left="425" w:firstLine="0"/>
        <w:rPr>
          <w:rFonts w:ascii="Verdana" w:hAnsi="Verdana" w:cs="Arial"/>
          <w:b/>
          <w:bCs/>
          <w:color w:val="auto"/>
          <w:sz w:val="20"/>
          <w:szCs w:val="20"/>
        </w:rPr>
      </w:pPr>
      <w:bookmarkStart w:id="14" w:name="_Toc15392775"/>
      <w:bookmarkStart w:id="15" w:name="_Toc137194953"/>
      <w:r>
        <w:rPr>
          <w:rFonts w:ascii="Verdana" w:hAnsi="Verdana" w:cstheme="minorHAnsi"/>
          <w:b/>
          <w:bCs/>
          <w:color w:val="auto"/>
          <w:sz w:val="20"/>
          <w:szCs w:val="20"/>
          <w:lang w:val="en-GB"/>
        </w:rPr>
        <w:t xml:space="preserve">Evaluation of </w:t>
      </w:r>
      <w:bookmarkEnd w:id="14"/>
      <w:r>
        <w:rPr>
          <w:rFonts w:ascii="Verdana" w:hAnsi="Verdana" w:cstheme="minorHAnsi"/>
          <w:b/>
          <w:bCs/>
          <w:color w:val="auto"/>
          <w:sz w:val="20"/>
          <w:szCs w:val="20"/>
          <w:lang w:val="en-GB"/>
        </w:rPr>
        <w:t>tenders</w:t>
      </w:r>
      <w:bookmarkEnd w:id="15"/>
    </w:p>
    <w:p w14:paraId="0C1B0E3A" w14:textId="77777777" w:rsidR="00E85882" w:rsidRPr="00CB00E4" w:rsidRDefault="00E85882" w:rsidP="00F77A5D">
      <w:pPr>
        <w:spacing w:line="240" w:lineRule="auto"/>
        <w:ind w:firstLine="0"/>
        <w:rPr>
          <w:rFonts w:ascii="Verdana" w:hAnsi="Verdana" w:cstheme="minorHAnsi"/>
          <w:vanish/>
          <w:sz w:val="20"/>
          <w:szCs w:val="20"/>
        </w:rPr>
      </w:pPr>
    </w:p>
    <w:p w14:paraId="2DFF0A66" w14:textId="61399FB4" w:rsidR="00CD2CC2" w:rsidRPr="00CB00E4" w:rsidRDefault="005A4255" w:rsidP="00F77A5D">
      <w:pPr>
        <w:pStyle w:val="ListParagraph"/>
        <w:spacing w:line="240" w:lineRule="auto"/>
        <w:ind w:left="0" w:firstLine="709"/>
        <w:rPr>
          <w:rFonts w:ascii="Verdana" w:eastAsia="Calibri" w:hAnsi="Verdana" w:cstheme="minorHAnsi"/>
          <w:sz w:val="20"/>
          <w:szCs w:val="20"/>
        </w:rPr>
      </w:pPr>
      <w:r>
        <w:rPr>
          <w:rFonts w:ascii="Verdana" w:hAnsi="Verdana" w:cstheme="minorHAnsi"/>
          <w:sz w:val="20"/>
          <w:szCs w:val="20"/>
          <w:lang w:val="en-GB"/>
        </w:rPr>
        <w:t xml:space="preserve">7.1. The Contracting Authority shall select the most economically advantageous tender on the basis of the price quoted in the Supplier's tender, which shall be calculated and quoted in the manner required in Annex 3 of the Special terms of procurement. </w:t>
      </w:r>
    </w:p>
    <w:p w14:paraId="69CC295B" w14:textId="50B9F5D6" w:rsidR="009C5AA9" w:rsidRPr="00CB00E4" w:rsidRDefault="00660FD8" w:rsidP="00F77A5D">
      <w:pPr>
        <w:pStyle w:val="ListParagraph"/>
        <w:spacing w:line="240" w:lineRule="auto"/>
        <w:ind w:left="0"/>
        <w:rPr>
          <w:rFonts w:ascii="Verdana" w:hAnsi="Verdana" w:cstheme="minorHAnsi"/>
          <w:sz w:val="20"/>
          <w:szCs w:val="20"/>
        </w:rPr>
      </w:pPr>
      <w:r>
        <w:rPr>
          <w:rFonts w:ascii="Verdana" w:hAnsi="Verdana" w:cstheme="minorHAnsi"/>
          <w:sz w:val="20"/>
          <w:szCs w:val="20"/>
          <w:lang w:val="en-GB"/>
        </w:rPr>
        <w:t xml:space="preserve">7.2. The contract shall be awarded to 1 (one) most economically advantageous tender in the top of the ranking of tenders. </w:t>
      </w:r>
    </w:p>
    <w:p w14:paraId="4447B5EA" w14:textId="77777777" w:rsidR="00E8559B" w:rsidRPr="00E8559B" w:rsidRDefault="00E8559B" w:rsidP="00E8559B">
      <w:pPr>
        <w:pStyle w:val="Heading1"/>
        <w:spacing w:before="0" w:after="0"/>
        <w:ind w:firstLine="0"/>
        <w:rPr>
          <w:rFonts w:ascii="Verdana" w:hAnsi="Verdana" w:cstheme="minorHAnsi"/>
          <w:b/>
          <w:bCs/>
          <w:color w:val="000000" w:themeColor="text1"/>
          <w:sz w:val="20"/>
          <w:szCs w:val="20"/>
        </w:rPr>
      </w:pPr>
      <w:bookmarkStart w:id="16" w:name="_Ref39425999"/>
      <w:bookmarkStart w:id="17" w:name="_Ref39426005"/>
      <w:bookmarkStart w:id="18" w:name="_Toc126333937"/>
      <w:bookmarkStart w:id="19" w:name="_Toc137194954"/>
    </w:p>
    <w:p w14:paraId="5F723318" w14:textId="0C3E9712" w:rsidR="00E8559B" w:rsidRPr="00E8559B" w:rsidRDefault="00FB0748" w:rsidP="00E8559B">
      <w:pPr>
        <w:pStyle w:val="Heading1"/>
        <w:numPr>
          <w:ilvl w:val="0"/>
          <w:numId w:val="6"/>
        </w:numPr>
        <w:tabs>
          <w:tab w:val="left" w:pos="284"/>
        </w:tabs>
        <w:spacing w:before="0" w:after="0"/>
        <w:ind w:left="0" w:firstLine="426"/>
        <w:rPr>
          <w:rFonts w:ascii="Verdana" w:hAnsi="Verdana" w:cstheme="minorHAnsi"/>
          <w:b/>
          <w:bCs/>
          <w:color w:val="000000" w:themeColor="text1"/>
          <w:sz w:val="20"/>
          <w:szCs w:val="20"/>
        </w:rPr>
      </w:pPr>
      <w:r>
        <w:rPr>
          <w:rFonts w:ascii="Verdana" w:hAnsi="Verdana" w:cstheme="minorHAnsi"/>
          <w:color w:val="auto"/>
          <w:sz w:val="20"/>
          <w:szCs w:val="20"/>
          <w:lang w:val="en-GB"/>
        </w:rPr>
        <w:t xml:space="preserve"> </w:t>
      </w:r>
      <w:bookmarkEnd w:id="4"/>
      <w:bookmarkEnd w:id="16"/>
      <w:bookmarkEnd w:id="17"/>
      <w:bookmarkEnd w:id="18"/>
      <w:bookmarkEnd w:id="19"/>
      <w:r>
        <w:rPr>
          <w:rFonts w:ascii="Verdana" w:hAnsi="Verdana" w:cstheme="minorHAnsi"/>
          <w:b/>
          <w:bCs/>
          <w:color w:val="000000" w:themeColor="text1"/>
          <w:sz w:val="20"/>
          <w:szCs w:val="20"/>
          <w:lang w:val="en-GB"/>
        </w:rPr>
        <w:t>Negotiations</w:t>
      </w:r>
    </w:p>
    <w:p w14:paraId="31EC3430" w14:textId="5C6EF169"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 xml:space="preserve">The Contracting Authority reserves the right to conduct negotiations to reduce the tender price/rates, if all suppliers’ tenders exceed the budget planned by the Contracting Authority prior to the procurement or if all tenders exceed the maximum acceptable rates of the Contracting Authority, in which case suppliers who meet the conditions referred to in point 8.1.2 of the terms of procurement shall be requested during negotiations to submit an improved price/rate tender (final tenders). </w:t>
      </w:r>
    </w:p>
    <w:p w14:paraId="4D9AD919" w14:textId="77777777" w:rsidR="00E8559B" w:rsidRPr="00676B98"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The subject of negotiations is the price/rate of the tender, which may only be reduced and not increased, i.e. the price indicated in the final tenders may not be higher than the price agreed and recorded during the negotiations or stated in the initial tender (if the price was not recorded during negotiations).</w:t>
      </w:r>
    </w:p>
    <w:p w14:paraId="48876EBF" w14:textId="77777777" w:rsidR="00E8559B" w:rsidRPr="00676B98"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Only suppliers whose tenders meet the object and/or conditions of the procurement shall be invited to negotiations.</w:t>
      </w:r>
    </w:p>
    <w:p w14:paraId="0EB066FD"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The negotiation procedure shall be conducted through meetings with supplier representatives and/or by electronic means (by telephone, email, CVP IS messaging tools, etc.). The precise negotiation method, procedure, date and time shall be specified in the invitation to negotiate.</w:t>
      </w:r>
    </w:p>
    <w:p w14:paraId="206BA3F8" w14:textId="77777777"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Negotiations shall be organised to achieve the best result in line with the Contracting Authority’s needs specified in the procurement documents and in accordance with the specified conditions: The principle of confidentiality of the parties’ commercial interests must be observed during negotiations, the parties shall not have the right to disclose any information related to prices or other tender conditions to third parties, all negotiation participants shall be subject to equal requirements and be given equal opportunities and the same information shall be provided to all. By providing information the Contracting Authority must not discriminate Suppliers in respect of each other.</w:t>
      </w:r>
    </w:p>
    <w:p w14:paraId="5C7E3370" w14:textId="165AF874"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Information about the negotiations and an invitation to submit a final tender shall be sent to the participants by the specified means. If the supplier does not submit a final tender, the initial tender submitted shall be deemed the final tender</w:t>
      </w:r>
      <w:r w:rsidR="008F223F">
        <w:rPr>
          <w:rFonts w:ascii="Verdana" w:eastAsia="Times New Roman" w:hAnsi="Verdana" w:cs="Times New Roman"/>
          <w:color w:val="000000" w:themeColor="text1"/>
          <w:sz w:val="20"/>
          <w:szCs w:val="20"/>
          <w:lang w:val="en-GB"/>
        </w:rPr>
        <w:t>.</w:t>
      </w:r>
    </w:p>
    <w:p w14:paraId="7088416D" w14:textId="010D9D6F" w:rsidR="00E8559B" w:rsidRPr="00676B98"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lang w:val="en-GB"/>
        </w:rPr>
        <w:t xml:space="preserve">During the negotiations, the supplier may, but is not obliged to, submit (in CVP IS – 2nd tender box) an improved offer, i.e. a tender with a reduced price. If no final tender is submitted, the supplier’s initial tender shall be considered as the final one. </w:t>
      </w:r>
    </w:p>
    <w:p w14:paraId="3642E876" w14:textId="77777777" w:rsidR="00E8559B" w:rsidRPr="00676B98" w:rsidRDefault="00E8559B" w:rsidP="00E8559B">
      <w:pPr>
        <w:pStyle w:val="Heading1"/>
        <w:tabs>
          <w:tab w:val="left" w:pos="567"/>
        </w:tabs>
        <w:spacing w:before="0" w:after="0"/>
        <w:ind w:firstLine="0"/>
        <w:contextualSpacing/>
        <w:rPr>
          <w:rFonts w:ascii="Verdana" w:hAnsi="Verdana" w:cstheme="minorHAnsi"/>
          <w:b/>
          <w:bCs/>
          <w:color w:val="000000" w:themeColor="text1"/>
          <w:sz w:val="20"/>
          <w:szCs w:val="20"/>
        </w:rPr>
      </w:pPr>
      <w:r>
        <w:rPr>
          <w:rFonts w:ascii="Verdana" w:hAnsi="Verdana" w:cstheme="minorHAnsi"/>
          <w:b/>
          <w:bCs/>
          <w:color w:val="000000" w:themeColor="text1"/>
          <w:sz w:val="20"/>
          <w:szCs w:val="20"/>
          <w:lang w:val="en-GB"/>
        </w:rPr>
        <w:t>9. Contract award</w:t>
      </w:r>
    </w:p>
    <w:p w14:paraId="3FDCC611" w14:textId="77777777" w:rsidR="00E8559B" w:rsidRPr="00676B98" w:rsidRDefault="00E8559B" w:rsidP="00E8559B">
      <w:pPr>
        <w:spacing w:line="240" w:lineRule="auto"/>
        <w:ind w:left="284" w:hanging="284"/>
        <w:rPr>
          <w:rFonts w:ascii="Verdana" w:hAnsi="Verdana" w:cstheme="minorHAnsi"/>
          <w:color w:val="000000" w:themeColor="text1"/>
          <w:sz w:val="20"/>
          <w:szCs w:val="20"/>
        </w:rPr>
      </w:pPr>
    </w:p>
    <w:p w14:paraId="13A753CB" w14:textId="3AF2BAEB" w:rsidR="00E8559B" w:rsidRPr="00676B98" w:rsidRDefault="00E8559B" w:rsidP="00E8559B">
      <w:pPr>
        <w:pStyle w:val="ListParagraph"/>
        <w:spacing w:line="240" w:lineRule="auto"/>
        <w:ind w:left="0" w:firstLine="709"/>
        <w:rPr>
          <w:rFonts w:ascii="Verdana" w:hAnsi="Verdana"/>
          <w:color w:val="000000" w:themeColor="text1"/>
          <w:sz w:val="20"/>
          <w:szCs w:val="20"/>
        </w:rPr>
      </w:pPr>
      <w:r>
        <w:rPr>
          <w:rFonts w:ascii="Verdana" w:hAnsi="Verdana"/>
          <w:color w:val="000000" w:themeColor="text1"/>
          <w:sz w:val="20"/>
          <w:szCs w:val="20"/>
          <w:lang w:val="en-GB"/>
        </w:rPr>
        <w:t xml:space="preserve">9.1. This procurement procedure is conducted with the aim of concluding a contract with the supplier whose tender, in accordance with the procedure set out in the terms of procurement, will be recognised as the winning tender, or if the procurement is divided into lots – with the suppliers whose tenders are recognised as winning. The terms of the contract are set out in Annex 3 to the Special terms of procurement. </w:t>
      </w:r>
    </w:p>
    <w:p w14:paraId="15464F84" w14:textId="77777777" w:rsidR="00E8559B" w:rsidRPr="00477CDF" w:rsidRDefault="00E8559B" w:rsidP="00E8559B">
      <w:pPr>
        <w:pStyle w:val="Heading1"/>
        <w:tabs>
          <w:tab w:val="left" w:pos="567"/>
        </w:tabs>
        <w:spacing w:line="20" w:lineRule="atLeast"/>
        <w:ind w:firstLine="0"/>
        <w:contextualSpacing/>
        <w:rPr>
          <w:rFonts w:ascii="Verdana" w:hAnsi="Verdana" w:cstheme="minorHAnsi"/>
          <w:b/>
          <w:bCs/>
          <w:color w:val="auto"/>
          <w:sz w:val="20"/>
          <w:szCs w:val="20"/>
        </w:rPr>
      </w:pPr>
      <w:r>
        <w:rPr>
          <w:rFonts w:ascii="Verdana" w:hAnsi="Verdana" w:cstheme="minorHAnsi"/>
          <w:b/>
          <w:bCs/>
          <w:color w:val="auto"/>
          <w:sz w:val="20"/>
          <w:szCs w:val="20"/>
          <w:lang w:val="en-GB"/>
        </w:rPr>
        <w:lastRenderedPageBreak/>
        <w:t>10. Annexes to the Terms of procurement</w:t>
      </w:r>
    </w:p>
    <w:p w14:paraId="45653A58" w14:textId="37712535" w:rsidR="00E8559B"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Pr>
          <w:rFonts w:ascii="Verdana" w:eastAsia="Times New Roman" w:hAnsi="Verdana" w:cstheme="minorHAnsi"/>
          <w:sz w:val="20"/>
          <w:szCs w:val="20"/>
          <w:lang w:val="en-GB"/>
        </w:rPr>
        <w:t>Annex 1 “Technical Specification”.</w:t>
      </w:r>
    </w:p>
    <w:p w14:paraId="577C0F12" w14:textId="58B6D45C" w:rsidR="00E8559B" w:rsidRDefault="008F223F"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Pr>
          <w:rFonts w:ascii="Verdana" w:eastAsia="Times New Roman" w:hAnsi="Verdana" w:cstheme="minorHAnsi"/>
          <w:sz w:val="20"/>
          <w:szCs w:val="20"/>
          <w:lang w:val="en-GB"/>
        </w:rPr>
        <w:t>Annex 2 "</w:t>
      </w:r>
      <w:r w:rsidR="00E8559B">
        <w:rPr>
          <w:rFonts w:ascii="Verdana" w:eastAsia="Times New Roman" w:hAnsi="Verdana" w:cstheme="minorHAnsi"/>
          <w:sz w:val="20"/>
          <w:szCs w:val="20"/>
          <w:lang w:val="en-GB"/>
        </w:rPr>
        <w:t>Tender Form</w:t>
      </w:r>
      <w:r>
        <w:rPr>
          <w:rFonts w:ascii="Verdana" w:eastAsia="Times New Roman" w:hAnsi="Verdana" w:cstheme="minorHAnsi"/>
          <w:sz w:val="20"/>
          <w:szCs w:val="20"/>
          <w:lang w:val="en-GB"/>
        </w:rPr>
        <w:t>"</w:t>
      </w:r>
      <w:r w:rsidR="00E8559B">
        <w:rPr>
          <w:rFonts w:ascii="Verdana" w:eastAsia="Times New Roman" w:hAnsi="Verdana" w:cstheme="minorHAnsi"/>
          <w:sz w:val="20"/>
          <w:szCs w:val="20"/>
          <w:lang w:val="en-GB"/>
        </w:rPr>
        <w:t>.</w:t>
      </w:r>
    </w:p>
    <w:p w14:paraId="4D5AFBDB" w14:textId="2C4A25D6" w:rsidR="00E8559B" w:rsidRPr="00477CDF"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Pr>
          <w:rFonts w:ascii="Verdana" w:hAnsi="Verdana" w:cstheme="minorHAnsi"/>
          <w:sz w:val="20"/>
          <w:szCs w:val="20"/>
          <w:lang w:val="en-GB"/>
        </w:rPr>
        <w:t xml:space="preserve">Annex 3 </w:t>
      </w:r>
      <w:r w:rsidR="008F223F">
        <w:rPr>
          <w:rFonts w:ascii="Verdana" w:hAnsi="Verdana" w:cstheme="minorHAnsi"/>
          <w:sz w:val="20"/>
          <w:szCs w:val="20"/>
          <w:lang w:val="en-GB"/>
        </w:rPr>
        <w:t>"</w:t>
      </w:r>
      <w:r>
        <w:rPr>
          <w:rFonts w:ascii="Verdana" w:hAnsi="Verdana" w:cstheme="minorHAnsi"/>
          <w:sz w:val="20"/>
          <w:szCs w:val="20"/>
          <w:lang w:val="en-GB"/>
        </w:rPr>
        <w:t>Draft Contract”</w:t>
      </w:r>
      <w:r w:rsidR="008F223F">
        <w:rPr>
          <w:rFonts w:ascii="Verdana" w:hAnsi="Verdana" w:cstheme="minorHAnsi"/>
          <w:sz w:val="20"/>
          <w:szCs w:val="20"/>
          <w:lang w:val="en-GB"/>
        </w:rPr>
        <w:t>.</w:t>
      </w:r>
    </w:p>
    <w:p w14:paraId="367CE3FD" w14:textId="4E297ECD" w:rsidR="00E8559B" w:rsidRPr="00477CDF"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Pr>
          <w:rFonts w:ascii="Verdana" w:hAnsi="Verdana" w:cstheme="minorHAnsi"/>
          <w:sz w:val="20"/>
          <w:szCs w:val="20"/>
          <w:lang w:val="en-GB"/>
        </w:rPr>
        <w:t xml:space="preserve">Annex 4 </w:t>
      </w:r>
      <w:r w:rsidR="008F223F">
        <w:rPr>
          <w:rFonts w:ascii="Verdana" w:hAnsi="Verdana" w:cstheme="minorHAnsi"/>
          <w:sz w:val="20"/>
          <w:szCs w:val="20"/>
          <w:lang w:val="en-GB"/>
        </w:rPr>
        <w:t>"</w:t>
      </w:r>
      <w:r>
        <w:rPr>
          <w:rFonts w:ascii="Verdana" w:hAnsi="Verdana" w:cstheme="minorHAnsi"/>
          <w:sz w:val="20"/>
          <w:szCs w:val="20"/>
          <w:lang w:val="en-GB"/>
        </w:rPr>
        <w:t>Criteria, terms and conditions for tender evaluation”.</w:t>
      </w:r>
    </w:p>
    <w:p w14:paraId="70433C2C" w14:textId="4FBDED31" w:rsidR="00E8559B" w:rsidRDefault="00E8559B" w:rsidP="00E8559B">
      <w:pPr>
        <w:pStyle w:val="ListParagraph"/>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Pr>
          <w:rFonts w:ascii="Verdana" w:eastAsia="Times New Roman" w:hAnsi="Verdana" w:cstheme="minorHAnsi"/>
          <w:sz w:val="20"/>
          <w:szCs w:val="20"/>
          <w:lang w:val="en-GB"/>
        </w:rPr>
        <w:t xml:space="preserve">Annex 5 </w:t>
      </w:r>
      <w:r w:rsidR="008F223F">
        <w:rPr>
          <w:rFonts w:ascii="Verdana" w:eastAsia="Times New Roman" w:hAnsi="Verdana" w:cstheme="minorHAnsi"/>
          <w:sz w:val="20"/>
          <w:szCs w:val="20"/>
          <w:lang w:val="en-GB"/>
        </w:rPr>
        <w:t>"</w:t>
      </w:r>
      <w:r>
        <w:rPr>
          <w:rFonts w:ascii="Verdana" w:eastAsia="Times New Roman" w:hAnsi="Verdana" w:cstheme="minorHAnsi"/>
          <w:sz w:val="20"/>
          <w:szCs w:val="20"/>
          <w:lang w:val="en-GB"/>
        </w:rPr>
        <w:t>Term</w:t>
      </w:r>
      <w:r w:rsidR="008F223F">
        <w:rPr>
          <w:rFonts w:ascii="Verdana" w:eastAsia="Times New Roman" w:hAnsi="Verdana" w:cstheme="minorHAnsi"/>
          <w:sz w:val="20"/>
          <w:szCs w:val="20"/>
          <w:lang w:val="en-GB"/>
        </w:rPr>
        <w:t>s"</w:t>
      </w:r>
      <w:r>
        <w:rPr>
          <w:rFonts w:ascii="Verdana" w:eastAsia="Times New Roman" w:hAnsi="Verdana" w:cstheme="minorHAnsi"/>
          <w:sz w:val="20"/>
          <w:szCs w:val="20"/>
          <w:lang w:val="en-GB"/>
        </w:rPr>
        <w:t>.</w:t>
      </w:r>
    </w:p>
    <w:p w14:paraId="6177499F" w14:textId="77777777" w:rsidR="00E8559B" w:rsidRPr="00477CDF" w:rsidRDefault="00E8559B" w:rsidP="00E8559B">
      <w:pPr>
        <w:pStyle w:val="ListParagraph"/>
        <w:shd w:val="clear" w:color="auto" w:fill="FFFFFF"/>
        <w:tabs>
          <w:tab w:val="left" w:pos="1276"/>
        </w:tabs>
        <w:spacing w:line="240" w:lineRule="auto"/>
        <w:ind w:left="721" w:firstLine="0"/>
        <w:jc w:val="left"/>
        <w:rPr>
          <w:rFonts w:ascii="Verdana" w:eastAsia="Times New Roman" w:hAnsi="Verdana" w:cstheme="minorHAnsi"/>
          <w:sz w:val="20"/>
          <w:szCs w:val="20"/>
        </w:rPr>
      </w:pPr>
    </w:p>
    <w:p w14:paraId="367E8661" w14:textId="15275AAB" w:rsidR="009B4090" w:rsidRPr="00DC34CF" w:rsidRDefault="00E8559B" w:rsidP="00DC34CF">
      <w:pPr>
        <w:shd w:val="clear" w:color="auto" w:fill="FFFFFF"/>
        <w:spacing w:line="240" w:lineRule="auto"/>
        <w:jc w:val="center"/>
        <w:rPr>
          <w:rFonts w:ascii="Verdana" w:eastAsia="Calibri" w:hAnsi="Verdana" w:cstheme="minorHAnsi"/>
          <w:sz w:val="20"/>
          <w:szCs w:val="20"/>
        </w:rPr>
      </w:pPr>
      <w:r>
        <w:rPr>
          <w:rFonts w:ascii="Verdana" w:eastAsia="Calibri" w:hAnsi="Verdana" w:cstheme="minorHAnsi"/>
          <w:sz w:val="20"/>
          <w:szCs w:val="20"/>
          <w:lang w:val="en-GB"/>
        </w:rPr>
        <w:t>_________</w:t>
      </w:r>
    </w:p>
    <w:sectPr w:rsidR="009B4090" w:rsidRPr="00DC34CF"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C4FA" w14:textId="77777777" w:rsidR="00AD0542" w:rsidRDefault="00AD0542" w:rsidP="00D05666">
      <w:r>
        <w:separator/>
      </w:r>
    </w:p>
  </w:endnote>
  <w:endnote w:type="continuationSeparator" w:id="0">
    <w:p w14:paraId="2A870892" w14:textId="77777777" w:rsidR="00AD0542" w:rsidRDefault="00AD0542" w:rsidP="00D05666">
      <w:r>
        <w:continuationSeparator/>
      </w:r>
    </w:p>
  </w:endnote>
  <w:endnote w:type="continuationNotice" w:id="1">
    <w:p w14:paraId="29A356F1" w14:textId="77777777" w:rsidR="00AD0542" w:rsidRDefault="00AD05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140A" w14:textId="77777777" w:rsidR="00AD0542" w:rsidRDefault="00AD0542" w:rsidP="00D05666">
      <w:r>
        <w:separator/>
      </w:r>
    </w:p>
  </w:footnote>
  <w:footnote w:type="continuationSeparator" w:id="0">
    <w:p w14:paraId="0D85BB65" w14:textId="77777777" w:rsidR="00AD0542" w:rsidRDefault="00AD0542" w:rsidP="00D05666">
      <w:r>
        <w:continuationSeparator/>
      </w:r>
    </w:p>
  </w:footnote>
  <w:footnote w:type="continuationNotice" w:id="1">
    <w:p w14:paraId="76335B12" w14:textId="77777777" w:rsidR="00AD0542" w:rsidRDefault="00AD05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rPr>
            <w:lang w:val="en-GB"/>
          </w:rPr>
          <w:fldChar w:fldCharType="begin"/>
        </w:r>
        <w:r>
          <w:rPr>
            <w:lang w:val="en-GB"/>
          </w:rPr>
          <w:instrText>PAGE   \* MERGEFORMAT</w:instrText>
        </w:r>
        <w:r>
          <w:rPr>
            <w:lang w:val="en-GB"/>
          </w:rPr>
          <w:fldChar w:fldCharType="separate"/>
        </w:r>
        <w:r w:rsidR="008F223F">
          <w:rPr>
            <w:noProof/>
            <w:lang w:val="en-GB"/>
          </w:rPr>
          <w:t>4</w:t>
        </w:r>
        <w:r>
          <w:rPr>
            <w:lang w:val="en-GB"/>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82BE" w14:textId="7634DA80" w:rsidR="00027307" w:rsidRPr="00027307" w:rsidRDefault="00027307" w:rsidP="00FB0748">
    <w:pPr>
      <w:tabs>
        <w:tab w:val="left" w:pos="360"/>
        <w:tab w:val="center" w:pos="4513"/>
        <w:tab w:val="right" w:pos="9026"/>
      </w:tabs>
      <w:spacing w:line="240" w:lineRule="auto"/>
      <w:ind w:left="2835" w:firstLine="0"/>
      <w:rPr>
        <w:rFonts w:ascii="Verdana" w:eastAsia="Calibri" w:hAnsi="Verdana" w:cs="Arial"/>
        <w:b/>
        <w:bCs/>
        <w:noProof/>
        <w:color w:val="212758"/>
        <w:sz w:val="22"/>
        <w:szCs w:val="22"/>
      </w:rPr>
    </w:pPr>
    <w:bookmarkStart w:id="20" w:name="_Hlk137646551"/>
    <w:r>
      <w:rPr>
        <w:rFonts w:ascii="Verdana" w:eastAsia="Calibri" w:hAnsi="Verdana" w:cs="Arial"/>
        <w:b/>
        <w:bCs/>
        <w:noProof/>
        <w:color w:val="212758"/>
        <w:sz w:val="22"/>
        <w:szCs w:val="22"/>
        <w:lang w:val="en-GB"/>
      </w:rPr>
      <w:t>PUBLIC INSTITUTION LIETUVOS NACIONALINIS</w:t>
    </w:r>
    <w:r>
      <w:rPr>
        <w:rFonts w:ascii="Calibri" w:eastAsia="Calibri" w:hAnsi="Calibri" w:cs="Arial"/>
        <w:b/>
        <w:bCs/>
        <w:noProof/>
        <w:lang w:val="en-GB" w:eastAsia="en-GB"/>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Calibri" w:hAnsi="Verdana" w:cs="Arial"/>
        <w:b/>
        <w:bCs/>
        <w:noProof/>
        <w:color w:val="212758"/>
        <w:sz w:val="22"/>
        <w:szCs w:val="22"/>
        <w:lang w:val="en-GB"/>
      </w:rPr>
      <w:t xml:space="preserve"> 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rPr>
    </w:pPr>
    <w:r>
      <w:rPr>
        <w:rFonts w:ascii="Calibri" w:eastAsia="Calibri" w:hAnsi="Calibri" w:cs="Arial"/>
        <w:color w:val="212758"/>
        <w:sz w:val="14"/>
        <w:szCs w:val="14"/>
        <w:lang w:val="en-GB"/>
      </w:rPr>
      <w:t>Public institution, S. Konarskio g. 49, LT-03123, Vilnius,</w:t>
    </w:r>
  </w:p>
  <w:p w14:paraId="2F41D861" w14:textId="33FE8F1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rPr>
    </w:pPr>
    <w:r>
      <w:rPr>
        <w:rFonts w:ascii="Calibri" w:eastAsia="Calibri" w:hAnsi="Calibri" w:cs="Arial"/>
        <w:color w:val="212758"/>
        <w:sz w:val="14"/>
        <w:szCs w:val="14"/>
        <w:lang w:val="en-GB"/>
      </w:rPr>
      <w:t xml:space="preserve">Tel.: (8 5) 236 3000, E-mail: </w:t>
    </w:r>
    <w:r>
      <w:rPr>
        <w:rFonts w:ascii="Calibri" w:eastAsia="Calibri" w:hAnsi="Calibri" w:cs="Arial"/>
        <w:color w:val="212758"/>
        <w:sz w:val="14"/>
        <w:szCs w:val="14"/>
        <w:u w:val="single"/>
        <w:lang w:val="en-GB"/>
      </w:rPr>
      <w:t>lrt@lrt.lt</w:t>
    </w:r>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rPr>
    </w:pPr>
    <w:r>
      <w:rPr>
        <w:rFonts w:ascii="Calibri" w:eastAsia="Calibri" w:hAnsi="Calibri" w:cs="Arial"/>
        <w:color w:val="212758"/>
        <w:sz w:val="14"/>
        <w:szCs w:val="14"/>
        <w:lang w:val="en-GB"/>
      </w:rPr>
      <w:t>Data is collected and stored in the Register of Legal Entities,</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Pr>
        <w:rFonts w:ascii="Calibri" w:eastAsia="Calibri" w:hAnsi="Calibri" w:cs="Arial"/>
        <w:color w:val="212758"/>
        <w:sz w:val="14"/>
        <w:szCs w:val="14"/>
        <w:lang w:val="en-GB"/>
      </w:rPr>
      <w:t>Code 124241078, VAT payer code: LT242410716</w:t>
    </w:r>
    <w:bookmarkEnd w:id="20"/>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Header"/>
    </w:pPr>
  </w:p>
  <w:p w14:paraId="2FBA12F4" w14:textId="624DB5D5" w:rsidR="00285B02" w:rsidRDefault="00285B02">
    <w:pPr>
      <w:pStyle w:val="Heade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8F80B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02628449">
    <w:abstractNumId w:val="1"/>
  </w:num>
  <w:num w:numId="2" w16cid:durableId="305744989">
    <w:abstractNumId w:val="8"/>
  </w:num>
  <w:num w:numId="3" w16cid:durableId="1118915668">
    <w:abstractNumId w:val="5"/>
  </w:num>
  <w:num w:numId="4" w16cid:durableId="883060041">
    <w:abstractNumId w:val="11"/>
  </w:num>
  <w:num w:numId="5" w16cid:durableId="1350175707">
    <w:abstractNumId w:val="2"/>
  </w:num>
  <w:num w:numId="6" w16cid:durableId="1257329855">
    <w:abstractNumId w:val="0"/>
  </w:num>
  <w:num w:numId="7" w16cid:durableId="1651786932">
    <w:abstractNumId w:val="6"/>
  </w:num>
  <w:num w:numId="8" w16cid:durableId="1914780106">
    <w:abstractNumId w:val="10"/>
  </w:num>
  <w:num w:numId="9" w16cid:durableId="1020623286">
    <w:abstractNumId w:val="9"/>
  </w:num>
  <w:num w:numId="10" w16cid:durableId="1832602207">
    <w:abstractNumId w:val="4"/>
  </w:num>
  <w:num w:numId="11" w16cid:durableId="170267032">
    <w:abstractNumId w:val="3"/>
  </w:num>
  <w:num w:numId="12" w16cid:durableId="229428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A5"/>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D1D"/>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8C3"/>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D5"/>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23F"/>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26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784"/>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42"/>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4D4"/>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92B"/>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74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0D534D3-2F23-438F-89F1-56BE422B5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EFA57A09-BA5D-484F-AA6A-26920FA8D961}">
  <ds:schemaRefs>
    <ds:schemaRef ds:uri="http://schemas.openxmlformats.org/officeDocument/2006/bibliography"/>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166</TotalTime>
  <Pages>5</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Baltkojė</cp:lastModifiedBy>
  <cp:revision>29</cp:revision>
  <cp:lastPrinted>2025-01-24T06:25:00Z</cp:lastPrinted>
  <dcterms:created xsi:type="dcterms:W3CDTF">2024-11-27T14:37:00Z</dcterms:created>
  <dcterms:modified xsi:type="dcterms:W3CDTF">2025-05-23T12:09:00Z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